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ZINC POWER</w:t>
      </w:r>
    </w:p>
    <w:p>
      <w:pP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Product information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Basic parameter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Diameter: 22mm      Length: 100mm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Material characteristics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It is safe and sanitary by adopting food-grade plastic material for shell, 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By adopting imported AST material from America for filter, it can complex heavy metals in water, release zinc ions uniformly and reduce potential difference in water.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Function parameter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pH: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7.2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－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9.8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Rate of zinc extraction: 100%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TDS increase: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&gt;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10ppm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Redox potential difference: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∆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－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500mv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Oscillation frequency: 48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－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60HZ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Hydrogen content: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0.2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－1.5ppm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Instructions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2"/>
        </w:numPr>
        <w:jc w:val="both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Activation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: For the first time use, please put Zinc Power in the bottle, pour in half a bottle of clean water, tighten the bottle lid, swing it horizontally for cleaning, then discard the water and repeat the above operation for 3 times.</w:t>
      </w:r>
    </w:p>
    <w:p>
      <w:pPr>
        <w:widowControl w:val="0"/>
        <w:numPr>
          <w:ilvl w:val="0"/>
          <w:numId w:val="2"/>
        </w:numPr>
        <w:jc w:val="both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Cleaning maintenance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: If it has not been used for more than 24 hours, it is recommended to soak it in hot water for 1 minute and clean it again, then it can be used normally.</w:t>
      </w:r>
    </w:p>
    <w:p>
      <w:pPr>
        <w:widowControl w:val="0"/>
        <w:numPr>
          <w:ilvl w:val="0"/>
          <w:numId w:val="2"/>
        </w:numPr>
        <w:jc w:val="both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Use method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: Put Zinc Power into a bottle, pour drinking water in it (it is recommended that water is 50%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－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80% of the bottle), shake it up , down, left and right, for 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－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15 times or put Zinc Power into bottle directly and soak it for over 3 minutes, and finally the water can be drunk.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Applicable water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: warm spoiled water, cold spoiled water, purified water, mineral water, reverse osmosis water, ultrafiltration water, nanofiltration water, distilled water etc.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Life service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: 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－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 months.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Attention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Don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t approach the fire so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urce or heat the product.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Don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t mix with drinks or alcohols that have similar functions to Zinc Power.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Don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t break, disassemble or damage the Zinc Power shell.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Don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t put Zinc Power into the glass container to shake, so as not to damage it.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In order to prolong the life service of Zinc Power as long as possible, it is recommended that the suitable water temperature is lower than 80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℃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, and don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t soak the Zinc Power in hot water for a long time.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After-Sales Commitment</w:t>
      </w:r>
    </w:p>
    <w:p>
      <w:pPr>
        <w:widowControl w:val="0"/>
        <w:numPr>
          <w:ilvl w:val="0"/>
          <w:numId w:val="4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This product can be replaced, repaired and provided with after-sales service within 6 months (according to the regulations for wading products, the used consumable filter element is not included.)</w:t>
      </w:r>
    </w:p>
    <w:p>
      <w:pPr>
        <w:widowControl w:val="0"/>
        <w:numPr>
          <w:ilvl w:val="0"/>
          <w:numId w:val="4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During the service life, if the quality problem is from product itself, the distributor shall undertake the after-sales service for the delivery of the product to the service outlets.</w:t>
      </w:r>
    </w:p>
    <w:p>
      <w:pPr>
        <w:widowControl w:val="0"/>
        <w:numPr>
          <w:ilvl w:val="0"/>
          <w:numId w:val="4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For the warranty of products beyond the service life, Ospring may charge the cost of accessories at its discretion. (For product maintenance delivered to service outlets, door-to-door service fees will be waived.)</w:t>
      </w:r>
    </w:p>
    <w:p>
      <w:pPr>
        <w:widowControl w:val="0"/>
        <w:numPr>
          <w:ilvl w:val="0"/>
          <w:numId w:val="4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All products (including accessories) provided by our company are covered by the warranty, and product maintenance services are provided.</w:t>
      </w:r>
    </w:p>
    <w:p>
      <w:pPr>
        <w:widowControl w:val="0"/>
        <w:numPr>
          <w:ilvl w:val="0"/>
          <w:numId w:val="4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Any equipment damage caused by man-made damage or force majeure does not fall within the warranty scope.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BCB1D1"/>
    <w:multiLevelType w:val="singleLevel"/>
    <w:tmpl w:val="A9BCB1D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C4C1479"/>
    <w:multiLevelType w:val="singleLevel"/>
    <w:tmpl w:val="BC4C147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8D00518"/>
    <w:multiLevelType w:val="singleLevel"/>
    <w:tmpl w:val="38D0051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2A0BDBE"/>
    <w:multiLevelType w:val="singleLevel"/>
    <w:tmpl w:val="72A0BDB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B2F23"/>
    <w:rsid w:val="09DA5BF9"/>
    <w:rsid w:val="13184B90"/>
    <w:rsid w:val="17FB2F23"/>
    <w:rsid w:val="29C0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238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2019-11-21T02:33:00Z</dcterms:created>
  <dc:creator>小虫改写平凡</dc:creator>
  <cp:lastModifiedBy>小虫改写平凡</cp:lastModifiedBy>
  <dcterms:modified xsi:type="dcterms:W3CDTF">2019-11-21T07:40:00Z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